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186</w:t>
      </w:r>
    </w:p>
    <w:p>
      <w:r>
        <w:t>Bundesgericht (BGE), 1977-11-03, DE</w:t>
      </w:r>
    </w:p>
    <w:p>
      <w:r>
        <w:rPr>
          <w:b/>
        </w:rPr>
        <w:t xml:space="preserve">Quelle: </w:t>
      </w:r>
      <w:r>
        <w:t>https://mcp.opencaselaw.ch/entscheid/bge_103 IV 186</w:t>
      </w:r>
    </w:p>
    <w:p>
      <w:r>
        <w:t>FR: ATF 103 IV 186</w:t>
      </w:r>
    </w:p>
    <w:p>
      <w:r>
        <w:t>IT: DTF 103 IV 186</w:t>
      </w:r>
    </w:p>
    <w:p>
      <w:pPr>
        <w:pStyle w:val="Heading2"/>
      </w:pPr>
      <w:r>
        <w:t>Regeste</w:t>
      </w:r>
    </w:p>
    <w:p>
      <w:r>
        <w:t>Regeste Art. 286 StGB, Hinderung einer Amtshandlung. 1. Begriff (Erw. 2, 4, 6). 2. Das Warnen von Fahrzeugführern vor einer Geschwindigkeitskontrolle erfüllt den Tatbestand nicht (Erw. 4, 5).</w:t>
      </w:r>
    </w:p>
    <w:p>
      <w:pPr>
        <w:pStyle w:val="Heading2"/>
      </w:pPr>
      <w:r>
        <w:t>Erwägungen</w:t>
      </w:r>
    </w:p>
    <w:p>
      <w:r>
        <w:rPr>
          <w:b/>
        </w:rPr>
        <w:t>E. 1</w:t>
      </w:r>
    </w:p>
    <w:p>
      <w:r>
        <w:t>Die Nichtigkeitsbeschwerde hat kassatorischen Charakter ( Art. 277ter BStP ). Auf den Hauptantrag des Beschwerdeführers ist daher nur im Sinne eines Begehrens um Rückweisung an die Vorinstanz zur Freisprechung einzutreten.</w:t>
      </w:r>
    </w:p>
    <w:p>
      <w:r>
        <w:rPr>
          <w:b/>
        </w:rPr>
        <w:t>E. 2</w:t>
      </w:r>
    </w:p>
    <w:p>
      <w:r>
        <w:t>Im Sinne von Art. 286 StGB hindert eine Amtshandlung, wer eine im Rahmen ihrer Amtsbefugnis liegende Handlung einer Behörde, eines Behördenmitglieds oder eines Beamten ohne Gewalt so beeinträchtigt, dass sie nicht reibungslos durchgeführt werden kann (HAFTER, BT II S. 712). Die Entstehungsgeschichte spricht für eine zurückhaltende Anwendung der Bestimmung (HAFTER, a.a.O.), ebenso der Vergleich mit ausländischen Rechtsordnungen (SCHWANDER, Nr. 745, Ziff. 1, 2). STRATENWERTH (BT II S. 583 f.) fordert eine Beschränkung auf Fälle, wo die Amtshandlung als solche aktiv behindert wird.</w:t>
      </w:r>
    </w:p>
    <w:p>
      <w:r>
        <w:rPr>
          <w:b/>
        </w:rPr>
        <w:t>E. 3</w:t>
      </w:r>
    </w:p>
    <w:p>
      <w:r>
        <w:t>Die Amtshandlung, deren Hinderung dem Beschwerdeführer vorgeworfen wird, bestand in einer der üblichen Radarkontrollen über die Einhaltung der Höchstgeschwindigkeit. Dass die Beamten im Rahmen ihrer Amtsbefugnis handelten, ist unbestritten. Solche Radarkontrollen können gewaltlos auf verschiedene Art behindert werden, so durch Störung der Messung (Beispiel in BGE 95 IV 172 ) oder der Funkübertragung zum Auffangposten oder der automatischen Lichtbildaufnahme. Dem Beschwerdeführer wird nichts Derartiges oder Vergleichbares vorgeworfen. Zunächst trat er in der Nähe der Messstelle auf die Strasse, aber nicht in den Messstrahl. Dann warnte er die Fahrer etwa 100 m vor der Radaranlage. Weder die Messung durch das Radargerät noch die Meldung durch Funk an den Auffangposten noch dessen Tätigkeit wurden gestört. Die ganze Amtshandlung wickelte sich reibungslos ab. BGE 103 IV 186 S. 188 Anklage und Vorinstanz behaupten nichts anderes; nirgends wird eine Beeinträchtigung der Kontrolltätigkeit geltend gemacht. Die Verurteilung verletzt Art. 286 StGB .</w:t>
      </w:r>
    </w:p>
    <w:p>
      <w:r>
        <w:rPr>
          <w:b/>
        </w:rPr>
        <w:t>E. 4</w:t>
      </w:r>
    </w:p>
    <w:p>
      <w:r>
        <w:t>Die Vorinstanz hat den Beschwerdeführer bestraft, weil er den von der Radarkontrolle angestrebten Erfolg beeinträchtigt habe. Damit wird ein dem Sinn und Wortlaut von Art. 286 StGB fremdes Element eingeführt. Der Kassationshof hat es stets abgelehnt, darauf abzustellen, ob sich die Tätigkeit des Angeklagten auf den von der Amtshandlung angestrebten Zweck ausgewirkt hat. Der Täter ist auch dann wegen vollendeter und nicht nur versuchter Hinderung strafbar, wenn er den Beamten erfolglos gehindert hat ( BGE 71 IV 101 , BGE 74 IV 63 E. 4). Umgekehrt ist eine Bestrafung nach Art. 286 ausgeschlossen, wenn der Täter zwar die Amtshandlung als solche nicht behinderte, aber den damit angestrebten Erfolg vereitelte. So wurde der Nachtruhestörer freigesprochen, der trotz polizeilicher Abmahnung weiter krakeelte ( BGE 69 IV 3 ). Auch als ein Polizist einem betrunkenen Automobilisten verbot, mit seinem Wagen wegzufahren, wurde Hinderung einer Amtshandlung verneint, obwohl der Betrunkene sich dann trotzdem ans Steuer gesetzt hatte und weggefahren war ( BGE 81 IV 164 ).</w:t>
      </w:r>
    </w:p>
    <w:p>
      <w:r>
        <w:rPr>
          <w:b/>
        </w:rPr>
        <w:t>E. 5</w:t>
      </w:r>
    </w:p>
    <w:p>
      <w:r>
        <w:t>Selbst wenn die Zweckvereitelung für die Erfüllung des Tatbestandes genügte, wäre das angefochtene Urteil nicht haltbar. a) Radarmessungen können verschiedenen Zwecken dienen. Eine längere systematische Erfassung des Strassenverkehrs nach Fahrzeugkategorien und einzelnen Geschwindigkeitsstufen kann für die Festsetzung bestimmter Höchstgeschwindigkeiten notwendig sein. Hier könnten die Ergebnisse verfälscht werden, indem die Fahrer allgemein aufgefordert würden, bei der Durchfahrt an den kenntlich gemachten Messstellen schneller (oder langsamer) zu fahren, als dies sonst der Fall wäre. Die allermeisten Radarmessungen dienen jedoch ausschliesslich der Kontrolle darüber, ob eine vorgeschriebene Höchstgeschwindigkeit nicht überschritten wird. Aus dem angefochtenen Urteil ergibt sich, dass auch im vorliegenden Fall lediglich eine der üblichen Höchstgeschwindigkeitskontrollen durchgeführt wurde. BGE 103 IV 186 S. 189 b) Auch wenn der Fiskus an hohen Busseneingängen interessiert ist, liegt der Zweck der Radarkontrollen nicht in der Büssung vieler Verkehrssünder. c) Geschwindigkeitskontrollen sollen mithelfen, eine möglichst umfassende Einhaltung geltender Höchstgeschwindigkeiten zu bewirken. Diese Höchstgeschwindigkeiten dienen wie alle übrigen Verkehrsvorschriften der Verkehrssicherheit. Alles, was dazu beiträgt, die Strassenbenützer zu einem verkehrsregelgemässen Verhalten zu veranlassen, liegt im Sinne der entsprechenden Vorschriften. Wer daher einen Strassenbenützer auf eine mögliche Geschwindigkeitsüberschreitung hinweist und zur notwendigen Mässigung veranlasst, kann nicht gegen den Zweck der Geschwindigkeitsbeschränkung verstossen. Er kann daher auch nicht dem Zweck zuwiderhandeln, der mit einer Geschwindigkeitskontrolle angestrebt wird. d) Die Erfahrung lehrt, dass zwar Strafdrohungen und die individuelle Bestrafung Fehlbarer notwendig sind, dass aber eine gelockerte Verkehrsdisziplin mindestens so wirksam durch die Präsenz der Polizei und das Wissen um häufige Kontrollen gebessert wird. Aus dieser Erkenntnis heraus werden feste Radarkabinen gut sichtbar aufgestellt und vielerorts von der Polizei auffällige Tafeln mit dem Hinweis auf bevorstehende Geschwindigkeitskontrollen angebracht. Kantonale Polizeistellen pflegen regelmässig durch Radio und Presse vor Feiertagen darauf aufmerksam zu machen, dass auf ganz bestimmten Strecken Radarkontrollen durchgeführt würden. Mancher unaufmerksame oder undisziplinierte Lenker wird dadurch veranlasst, seine Geschwindigkeit jedenfalls an diesen Orten zu kontrollieren und nötigenfalls herabzusetzen. Der Beschwerdeführer hat, wenn auch aus anderen Motiven, genau dasselbe getan, was die Verkehrspolizei selbst tut, um die Einhaltung der Höchstgeschwindigkeit möglichst umfassend zu gewährleisten. e) Ob nur vereinzelte Autofahrer vor einer Geschwindigkeitskontrolle gewarnt werden oder die Warnung systematisch während längerer Zeit erfolgt, ist entgegen der in einem Urteil des Zürcher Obergerichts (SJZ 1971 S. 323 Nr. 138) vertretenen Meinung ohne Belang, gleichgültig, ob nur auf die Hinderung der Amtshandlung selbst oder auch auf den Zweck der letzteren abgestellt wird. Richtig ist vielmehr die Auffassung von SCHULTZ (Strafrechtliche Rechtsprechung zum Strassenverkehrsrecht BGE 103 IV 186 S. 190 1968-1972, S. 64), dass auch die systematische Warnung einer grösseren Zahl von Fahrzeugführern nie Hinderung einer Amtshandlung sei, da sie genau den Zweck erreiche, den die Kontrolle selbst anstrebt. Ob das Verhalten des Warners eventuell aus anderen Gründen bestraft werden kann (z.B. unerlaubte Verwendung der Lichthupe oder der akustischen Warnanlage), ist hier nicht zu untersuchen. Dem Beschwerdeführer wird kein solcher Vorwurf gemacht.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